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w:t>
            </w:r>
            <w:r>
              <w:rPr>
                <w:rFonts w:ascii="Segoe UI Symbol" w:hAnsi="Segoe UI Symbol" w:cs="Segoe UI Symbol"/>
                <w:b/>
                <w:bCs/>
                <w:sz w:val="18"/>
                <w:highlight w:val="yellow"/>
              </w:rPr>
              <w:t>✓</w:t>
            </w:r>
            <w:r>
              <w:rPr>
                <w:rFonts w:asciiTheme="majorHAnsi" w:hAnsiTheme="majorHAnsi" w:cstheme="majorHAnsi"/>
                <w:sz w:val="18"/>
                <w:szCs w:val="18"/>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pPr>
            <w:r>
              <w:rPr>
                <w:rFonts w:ascii="Aptos" w:hAnsi="Aptos"/>
                <w:sz w:val="16"/>
                <w:szCs w:val="16"/>
              </w:rPr>
              <w:t xml:space="preserve">Collapse of excavation walls — burial and suffocation. Fall into excavation. Contact with underground services. Flooding/water ingress. Ground vibration from adjacent plant. Atmospheric contamination — build-up of gases, fumes, oxygen depletion. 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Ground Works Permit raised and approved per HY Works Permit procedure — permit in hard copy with operator/excavation crew, with current DBYD, as-built drawings, services layouts, and engineers report attached</w:t>
            </w:r>
          </w:p>
          <w:p>
            <w:pPr>
              <w:spacing w:before="20" w:after="20" w:line="276"/>
              <w:numPr>
                <w:ilvl w:val="0"/>
                <w:numId w:val="44"/>
              </w:numPr>
            </w:pPr>
            <w:r>
              <w:rPr>
                <w:rFonts w:ascii="Aptos" w:hAnsi="Aptos"/>
                <w:sz w:val="16"/>
                <w:szCs w:val="16"/>
              </w:rPr>
              <w:t xml:space="preserve">Geotechnical assessment reviewed: soil classification confirmed — batter angles and shoring requirements determined before excavation commences</w:t>
            </w:r>
          </w:p>
          <w:p>
            <w:pPr>
              <w:spacing w:before="20" w:after="20" w:line="276"/>
              <w:numPr>
                <w:ilvl w:val="0"/>
                <w:numId w:val="44"/>
              </w:numPr>
            </w:pPr>
            <w:r>
              <w:rPr>
                <w:rFonts w:ascii="Aptos" w:hAnsi="Aptos"/>
                <w:sz w:val="16"/>
                <w:szCs w:val="16"/>
              </w:rPr>
              <w:t xml:space="preserve">Adjacent buildings and structures assessed by competent person (structural/geotechnical engineer) before excavation commences — vibration monitoring and structural integrity controls implemented per engineer's assessment</w:t>
            </w:r>
          </w:p>
          <w:p>
            <w:pPr>
              <w:spacing w:before="20" w:after="20" w:line="276"/>
              <w:numPr>
                <w:ilvl w:val="0"/>
                <w:numId w:val="44"/>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4"/>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4"/>
              </w:numPr>
            </w:pPr>
            <w:r>
              <w:rPr>
                <w:rFonts w:ascii="Aptos" w:hAnsi="Aptos"/>
                <w:sz w:val="16"/>
                <w:szCs w:val="16"/>
              </w:rPr>
              <w:t xml:space="preserve">Barricading per HY tiered system: up to 1m deep — bunting/barrier mesh (star pickets with safety caps at max 2.5m spacing, at least 1m from edge); greater than 1m deep —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Shoring installed progressively as depth increases. Benching/battering angles per geotechnical report — never steeper than soil classification allows. Dewatering active if water table encountered. Edge protection: spoil stockpile setback from excavation edge — minimum 1m or equal to excavation depth, whichever is greater. Safe access/egress for excavations &gt;1.5m — ladders secured to trench shields extending minimum 1m above top of excavation, or ramps/steps as appropriate. Controls to prevent objects falling on workers in excavations &gt;1.5m —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Wall cracking, slumping, or movement observed — water ingress not controlled by dewatering — shoring damaged or displaced — services exposed and not confirmed de-energised — spoil encroaching on edge setback — any worker in excavation &gt;1.5m without shoring/benching — atmospheric testing indicates unsafe conditions (oxygen depletion, gas detection, engine fumes in excavation) — Ground Works Permit not raised —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pPr>
            <w:r>
              <w:rPr>
                <w:rFonts w:ascii="Aptos" w:hAnsi="Aptos"/>
                <w:sz w:val="16"/>
                <w:szCs w:val="16"/>
              </w:rPr>
              <w:t xml:space="preserve">Electrocution from contact with underground power cables or overhead power lines. Gas main rupture — explosion and fire. Water main burst — flooding. Telecommunications damage — service disruption. Sewer damage — contamination. 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6"/>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6"/>
              </w:numPr>
            </w:pPr>
            <w:r>
              <w:rPr>
                <w:rFonts w:ascii="Aptos" w:hAnsi="Aptos"/>
                <w:sz w:val="16"/>
                <w:szCs w:val="16"/>
              </w:rPr>
              <w:t xml:space="preserve">Hand dig/vacuum excavation (potholing) within 1m horizontal and 300mm vertical of any indicated service — no mechanical excavation within this zone</w:t>
            </w:r>
          </w:p>
          <w:p>
            <w:pPr>
              <w:spacing w:before="20" w:after="20" w:line="276"/>
              <w:numPr>
                <w:ilvl w:val="0"/>
                <w:numId w:val="46"/>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6"/>
              </w:numPr>
            </w:pPr>
            <w:r>
              <w:rPr>
                <w:rFonts w:ascii="Aptos" w:hAnsi="Aptos"/>
                <w:sz w:val="16"/>
                <w:szCs w:val="16"/>
              </w:rPr>
              <w:t xml:space="preserve">Overhead services identified: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encountered not shown on DBYD plans — any service contact (even minor) — odour of gas detected — water flow from unknown source — service locator readings inconsistent with plans — mechanical plant within 1m of unconfirmed service — plant approaching overhead power line safe approach distance —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pPr>
            <w:r>
              <w:rPr>
                <w:rFonts w:ascii="Aptos" w:hAnsi="Aptos"/>
                <w:sz w:val="16"/>
                <w:szCs w:val="16"/>
              </w:rPr>
              <w:t xml:space="preserve">Collision with workers, structures, or other plant. Rollover. Overhead power line contact. Crush injury. Noise. Vibration. 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 licence/VOC sighted and recorded. VOC assessments not undertaken by an RTO will not be accepted per HY</w:t>
            </w:r>
          </w:p>
          <w:p>
            <w:pPr>
              <w:spacing w:before="20" w:after="20" w:line="276"/>
              <w:numPr>
                <w:ilvl w:val="0"/>
                <w:numId w:val="48"/>
              </w:numPr>
            </w:pPr>
            <w:r>
              <w:rPr>
                <w:rFonts w:ascii="Aptos" w:hAnsi="Aptos"/>
                <w:sz w:val="16"/>
                <w:szCs w:val="16"/>
              </w:rPr>
              <w:t xml:space="preserve">Plant safety verification completed upon arrival per HY procedure — plant approved for use by HY, verification sticker displayed. Plant Setup permit issued where required (piling rigs, mobile cranes, concrete boom pumps)</w:t>
            </w:r>
          </w:p>
          <w:p>
            <w:pPr>
              <w:spacing w:before="20" w:after="20" w:line="276"/>
              <w:numPr>
                <w:ilvl w:val="0"/>
                <w:numId w:val="48"/>
              </w:numPr>
            </w:pPr>
            <w:r>
              <w:rPr>
                <w:rFonts w:ascii="Aptos" w:hAnsi="Aptos"/>
                <w:sz w:val="16"/>
                <w:szCs w:val="16"/>
              </w:rPr>
              <w:t xml:space="preserve">Plant pre-start inspection completed and recorded — all safety systems functional (ROPS, FOPS, seatbelt, reversing alarm, camera/mirrors)</w:t>
            </w:r>
          </w:p>
          <w:p>
            <w:pPr>
              <w:spacing w:before="20" w:after="20" w:line="276"/>
              <w:numPr>
                <w:ilvl w:val="0"/>
                <w:numId w:val="48"/>
              </w:numPr>
            </w:pPr>
            <w:r>
              <w:rPr>
                <w:rFonts w:ascii="Aptos" w:hAnsi="Aptos"/>
                <w:sz w:val="16"/>
                <w:szCs w:val="16"/>
              </w:rPr>
              <w:t xml:space="preserve">Exclusion zones established: minimum 3m from operating plant for pedestrians — spotter in place when pedestrians must enter zone</w:t>
            </w:r>
          </w:p>
          <w:p>
            <w:pPr>
              <w:spacing w:before="20" w:after="20" w:line="276"/>
              <w:numPr>
                <w:ilvl w:val="0"/>
                <w:numId w:val="48"/>
              </w:numPr>
            </w:pPr>
            <w:r>
              <w:rPr>
                <w:rFonts w:ascii="Aptos" w:hAnsi="Aptos"/>
                <w:sz w:val="16"/>
                <w:szCs w:val="16"/>
              </w:rPr>
              <w:t xml:space="preserve">Overhead power line assessment completed —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Plant movement plan reviewed — travel paths, exclusion zones, overhead hazards, underground services all identified. Spotter assigned for reversing and blind spot operations. Communication between operator and ground crew —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Operator: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Licence not current — pre-start defect not rectified — pedestrian in exclusion zone — spotter not available for reversing — overhead power line approach distance compromised — ground conditions unsafe (soft, unstable) —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pPr>
            <w:r>
              <w:rPr>
                <w:rFonts w:ascii="Aptos" w:hAnsi="Aptos"/>
                <w:sz w:val="16"/>
                <w:szCs w:val="16"/>
              </w:rPr>
              <w:t xml:space="preserve">Collapse of formwork during pour. Struck by falling formwork components. Puncture wounds from rebar and tie wire. Manual handling of heavy forms and steel. 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Formwork designed by competent person —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 </w:t>
            </w:r>
            <w:r>
              <w:rPr>
                <w:rFonts w:ascii="Aptos" w:hAnsi="Aptos"/>
                <w:sz w:val="16"/>
                <w:szCs w:val="16"/>
              </w:rPr>
              <w:t xml:space="preserve">Formwork inspection by competent person before pour — checklist completed and signed. Strip sequence planned —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 props not plumb or bracing inadequate — rebar caps missing on vertical bars — concrete strength not confirmed before stripping —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pPr>
            <w:r>
              <w:rPr>
                <w:rFonts w:ascii="Aptos" w:hAnsi="Aptos"/>
                <w:sz w:val="16"/>
                <w:szCs w:val="16"/>
              </w:rPr>
              <w:t xml:space="preserve">Concrete pump line failure — high-pressure release. Chemical burns from wet concrete (alkaline). Manual handling — vibrator, screeds. Slip hazard on wet concrete. 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Concrete pump lines secured at all connections —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 </w:t>
            </w:r>
            <w:r>
              <w:rPr>
                <w:rFonts w:ascii="Aptos" w:hAnsi="Aptos"/>
                <w:sz w:val="16"/>
                <w:szCs w:val="16"/>
              </w:rPr>
              <w:t xml:space="preserve">Pour plan reviewed — sequence, volume, timing, finishing requirements. Formwork pre-pour inspection completed and signed off. Concrete docket checked on arrival — slump, strength, admixtures match specification. Wash-out area prepared — no wash-out to stormwater.</w:t>
            </w:r>
          </w:p>
          <w:p>
            <w:pPr>
              <w:spacing w:before="20" w:after="20" w:line="276"/>
            </w:pPr>
            <w:r>
              <w:rPr>
                <w:rFonts w:ascii="Aptos" w:hAnsi="Aptos"/>
                <w:sz w:val="16"/>
                <w:szCs w:val="16"/>
                <w:b/>
              </w:rPr>
              <w:t xml:space="preserve">PPE: </w:t>
            </w:r>
            <w:r>
              <w:rPr>
                <w:rFonts w:ascii="Aptos" w:hAnsi="Aptos"/>
                <w:sz w:val="16"/>
                <w:szCs w:val="16"/>
              </w:rPr>
              <w:t xml:space="preserve">Waterproof boots (gumboots) when standing in wet concrete. Nitrile gloves — no skin contact with wet concrete (pH 12-13 causes chemical burns). Eye protection. Long sleeves.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Pump line blockage with pressure build-up — formwork movement during pour — concrete strength/slump does not match specification — rain affecting finish quality —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pPr>
            <w:r>
              <w:rPr>
                <w:rFonts w:ascii="Aptos" w:hAnsi="Aptos"/>
                <w:sz w:val="16"/>
                <w:szCs w:val="16"/>
              </w:rPr>
              <w:t xml:space="preserve">Hand-arm vibration from compaction equipment. Noise exposure. Dust generation. Struck by mobile plant during backfill. 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Compaction equipment with vibration-dampened handles. Dust suppression with water spray during dry conditions. Backfill placed in controlled lifts — maximum layer thickness per geotechnical specification.</w:t>
            </w:r>
          </w:p>
          <w:p>
            <w:pPr>
              <w:spacing w:before="20" w:after="20" w:line="276"/>
            </w:pPr>
            <w:r>
              <w:rPr>
                <w:rFonts w:ascii="Aptos" w:hAnsi="Aptos"/>
                <w:sz w:val="16"/>
                <w:szCs w:val="16"/>
                <w:b/>
              </w:rPr>
              <w:t xml:space="preserve">Admin: </w:t>
            </w:r>
            <w:r>
              <w:rPr>
                <w:rFonts w:ascii="Aptos" w:hAnsi="Aptos"/>
                <w:sz w:val="16"/>
                <w:szCs w:val="16"/>
              </w:rPr>
              <w:t xml:space="preserve">Compaction testing at specified intervals and depths per geotechnical requirements — test results recorded and compared to specification before next lift placed. Fill material source and quality confirmed — no contaminated or unsuitable material. Vibration exposure log maintained — tool rotation every 30 minutes. Level checks against survey marks — final levels verified by surveyor before handover.</w:t>
            </w:r>
          </w:p>
          <w:p>
            <w:pPr>
              <w:spacing w:before="20" w:after="20" w:line="276"/>
            </w:pPr>
            <w:r>
              <w:rPr>
                <w:rFonts w:ascii="Aptos" w:hAnsi="Aptos"/>
                <w:sz w:val="16"/>
                <w:szCs w:val="16"/>
                <w:b/>
              </w:rPr>
              <w:t xml:space="preserve">PPE: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Vibration exposure limit reached — contaminated or unsuitable fill material identified — compaction test failures — trench wall movement during backfill —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pPr>
            <w:r>
              <w:rPr>
                <w:rFonts w:ascii="Aptos" w:hAnsi="Aptos"/>
                <w:sz w:val="16"/>
                <w:szCs w:val="16"/>
              </w:rPr>
              <w:t xml:space="preserve">Working in trenches — collapse risk. Manual handling of pipes and pit components. Exposure to existing sewer or contaminated water. 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 </w:t>
            </w:r>
            <w:r>
              <w:rPr>
                <w:rFonts w:ascii="Aptos" w:hAnsi="Aptos"/>
                <w:sz w:val="16"/>
                <w:szCs w:val="16"/>
              </w:rPr>
              <w:t xml:space="preserve">Pipe grades and falls checked against hydraulic design. Jointing method confirmed —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Trench not shored when depth requires it — connection to live sewer without isolation — pipe grade incorrect — existing services not confirmed before crossing —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pPr>
            <w:r>
              <w:rPr>
                <w:rFonts w:ascii="Aptos" w:hAnsi="Aptos"/>
                <w:sz w:val="16"/>
                <w:szCs w:val="16"/>
              </w:rPr>
              <w:t xml:space="preserve">Electrical hazard from pumps in water. Excavation instability from water removal. Contaminated water handling. Erosion and sediment runoff. 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Electric pumps on RCD-protected circuits — leads clear of water. Pump intake screened to prevent blockage. Discharge via sediment control — silt fence, sediment basin, or filter sock. No direct discharge to stormwater without filtration.</w:t>
            </w:r>
          </w:p>
          <w:p>
            <w:pPr>
              <w:spacing w:before="20" w:after="20" w:line="276"/>
            </w:pPr>
            <w:r>
              <w:rPr>
                <w:rFonts w:ascii="Aptos" w:hAnsi="Aptos"/>
                <w:sz w:val="16"/>
                <w:szCs w:val="16"/>
                <w:b/>
              </w:rPr>
              <w:t xml:space="preserve">Admin: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 disposal via licensed facility if contaminated. Pump operation monitored — excavation stability checked during dewatering. Discharge location and flow rate recorded.</w:t>
            </w:r>
          </w:p>
          <w:p>
            <w:pPr>
              <w:spacing w:before="20" w:after="20" w:line="276"/>
            </w:pPr>
            <w:r>
              <w:rPr>
                <w:rFonts w:ascii="Aptos" w:hAnsi="Aptos"/>
                <w:sz w:val="16"/>
                <w:szCs w:val="16"/>
                <w:b/>
              </w:rPr>
              <w:t xml:space="preserve">PPE: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Electrical fault on pump — discharge entering stormwater without filtration — excavation instability during dewatering — contaminated water identified —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pPr>
            <w:r>
              <w:rPr>
                <w:rFonts w:ascii="Aptos" w:hAnsi="Aptos"/>
                <w:sz w:val="16"/>
                <w:szCs w:val="16"/>
              </w:rPr>
              <w:t xml:space="preserve">Collapse of unsupported excavation or structure. Crush injury during installation. Failure of shoring system under load. Working in confined trench. 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Shoring system designed by competent person or structural engineer — design documentation on site and current for ground conditions</w:t>
            </w:r>
          </w:p>
          <w:p>
            <w:pPr>
              <w:spacing w:before="20" w:after="20" w:line="276"/>
              <w:numPr>
                <w:ilvl w:val="0"/>
                <w:numId w:val="50"/>
              </w:numPr>
            </w:pPr>
            <w:r>
              <w:rPr>
                <w:rFonts w:ascii="Aptos" w:hAnsi="Aptos"/>
                <w:sz w:val="16"/>
                <w:szCs w:val="16"/>
              </w:rPr>
              <w:t xml:space="preserve">Shoring components inspected before installation — certified, rated, and matched to design specification</w:t>
            </w:r>
          </w:p>
          <w:p>
            <w:pPr>
              <w:spacing w:before="20" w:after="20" w:line="276"/>
              <w:numPr>
                <w:ilvl w:val="0"/>
                <w:numId w:val="50"/>
              </w:numPr>
            </w:pPr>
            <w:r>
              <w:rPr>
                <w:rFonts w:ascii="Aptos" w:hAnsi="Aptos"/>
                <w:sz w:val="16"/>
                <w:szCs w:val="16"/>
              </w:rPr>
              <w:t xml:space="preserve">Installation supervised by competent person — progressive installation from top down in trenches</w:t>
            </w:r>
          </w:p>
          <w:p>
            <w:pPr>
              <w:spacing w:before="20" w:after="20" w:line="276"/>
              <w:numPr>
                <w:ilvl w:val="0"/>
                <w:numId w:val="50"/>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Hydraulic or mechanical shoring systems rated for soil type and depth. Props and struts positioned per design —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 condition, alignment, load, ground movement. Subcontractor to submit competency records for nominated inspection personnel per HY procedure. Shoring removal sequence planned — never remove from bottom up. After rain or seismic event —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movement, displacement, or deformation — ground cracking or slumping adjacent to excavation — shoring components damaged or not matched to design — competent person not available for inspection —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pPr>
            <w:r>
              <w:rPr>
                <w:rFonts w:ascii="Aptos" w:hAnsi="Aptos"/>
                <w:sz w:val="16"/>
                <w:szCs w:val="16"/>
              </w:rPr>
              <w:t xml:space="preserve">Exposure to asbestos fibres in soil. Hydrocarbon vapour inhalation. Skin contact with contaminated material. Incorrect disposal —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Contaminated soil stockpiled on plastic sheeting —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 </w:t>
            </w:r>
            <w:r>
              <w:rPr>
                <w:rFonts w:ascii="Aptos" w:hAnsi="Aptos"/>
                <w:sz w:val="16"/>
                <w:szCs w:val="16"/>
              </w:rPr>
              <w:t xml:space="preserve">Contamination assessment report reviewed before earthworks — known contamination areas mapped on site plan. Unexpected finds protocol: stop work, isolate area, notify supervisor, test before proceeding. Waste classification per EPA guidelines — disposal to licensed facility with tracking documentation. Chain of custody records maintained.</w:t>
            </w:r>
          </w:p>
          <w:p>
            <w:pPr>
              <w:spacing w:before="20" w:after="20" w:line="276"/>
            </w:pPr>
            <w:r>
              <w:rPr>
                <w:rFonts w:ascii="Aptos" w:hAnsi="Aptos"/>
                <w:sz w:val="16"/>
                <w:szCs w:val="16"/>
                <w:b/>
              </w:rPr>
              <w:t xml:space="preserve">PPE: </w:t>
            </w:r>
            <w:r>
              <w:rPr>
                <w:rFonts w:ascii="Aptos" w:hAnsi="Aptos"/>
                <w:sz w:val="16"/>
                <w:szCs w:val="16"/>
              </w:rPr>
              <w:t xml:space="preserve">P2 respirator minimum — upgrade to half-face P3 if asbestos suspected. Nitrile gloves. Disposable coveralls if handling known contaminated material.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 suspected asbestos encountered — no waste classification available — disposal facility not confirmed —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